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664"/>
        <w:gridCol w:w="4665"/>
        <w:gridCol w:w="4665"/>
      </w:tblGrid>
      <w:tr w:rsidR="00BF1287" w:rsidTr="00BF1287">
        <w:tc>
          <w:tcPr>
            <w:tcW w:w="5622" w:type="dxa"/>
          </w:tcPr>
          <w:tbl>
            <w:tblPr>
              <w:tblW w:w="5296" w:type="dxa"/>
              <w:tblCellMar>
                <w:left w:w="70" w:type="dxa"/>
                <w:right w:w="70" w:type="dxa"/>
              </w:tblCellMar>
              <w:tblLook w:val="04A0" w:firstRow="1" w:lastRow="0" w:firstColumn="1" w:lastColumn="0" w:noHBand="0" w:noVBand="1"/>
            </w:tblPr>
            <w:tblGrid>
              <w:gridCol w:w="4303"/>
              <w:gridCol w:w="145"/>
            </w:tblGrid>
            <w:tr w:rsidR="00BF1287" w:rsidTr="00BF1287">
              <w:trPr>
                <w:gridAfter w:val="1"/>
                <w:wAfter w:w="36" w:type="dxa"/>
                <w:trHeight w:val="320"/>
              </w:trPr>
              <w:tc>
                <w:tcPr>
                  <w:tcW w:w="5260" w:type="dxa"/>
                  <w:tcBorders>
                    <w:top w:val="nil"/>
                    <w:left w:val="nil"/>
                    <w:bottom w:val="nil"/>
                    <w:right w:val="nil"/>
                  </w:tcBorders>
                  <w:shd w:val="clear" w:color="000000" w:fill="B940FF"/>
                  <w:noWrap/>
                  <w:vAlign w:val="bottom"/>
                  <w:hideMark/>
                </w:tcPr>
                <w:p w:rsidR="00BF1287" w:rsidRDefault="00BF1287" w:rsidP="00BF1287">
                  <w:pPr>
                    <w:rPr>
                      <w:rFonts w:ascii="Georgia" w:eastAsia="Times New Roman" w:hAnsi="Georgia" w:cs="Calibri"/>
                      <w:b/>
                      <w:bCs/>
                      <w:color w:val="FFFFFF"/>
                      <w:sz w:val="22"/>
                      <w:szCs w:val="22"/>
                    </w:rPr>
                  </w:pPr>
                  <w:bookmarkStart w:id="0" w:name="RANGE!A1"/>
                  <w:r>
                    <w:rPr>
                      <w:rFonts w:ascii="Georgia" w:hAnsi="Georgia" w:cs="Calibri"/>
                      <w:b/>
                      <w:bCs/>
                      <w:color w:val="FFFFFF"/>
                      <w:sz w:val="22"/>
                      <w:szCs w:val="22"/>
                    </w:rPr>
                    <w:t>Goed Bestuur Cultureel Erfgoed</w:t>
                  </w:r>
                  <w:bookmarkEnd w:id="0"/>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FFFFFF"/>
                      <w:sz w:val="22"/>
                      <w:szCs w:val="22"/>
                    </w:rPr>
                  </w:pP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B940FF"/>
                      <w:sz w:val="22"/>
                      <w:szCs w:val="22"/>
                    </w:rPr>
                  </w:pPr>
                  <w:r>
                    <w:rPr>
                      <w:rFonts w:ascii="Georgia" w:hAnsi="Georgia" w:cs="Calibri"/>
                      <w:b/>
                      <w:bCs/>
                      <w:color w:val="B940FF"/>
                      <w:sz w:val="22"/>
                      <w:szCs w:val="22"/>
                    </w:rPr>
                    <w:t xml:space="preserve">Decreet 24 februari 2017 </w:t>
                  </w: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B940FF"/>
                      <w:sz w:val="22"/>
                      <w:szCs w:val="22"/>
                    </w:rPr>
                  </w:pPr>
                </w:p>
              </w:tc>
            </w:tr>
            <w:tr w:rsidR="00BF1287" w:rsidTr="00BF1287">
              <w:trPr>
                <w:gridAfter w:val="1"/>
                <w:wAfter w:w="36" w:type="dxa"/>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Afdeling 4 Het aanduiden van collectiebeherende cultureelerfgoedorganisaties als cultureelerfgoedinstelling</w:t>
                  </w: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50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art.18</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Voor een aanduiding als cultureelerfgoedinstelling gelden de volgende criteria:</w:t>
                  </w:r>
                  <w:r>
                    <w:rPr>
                      <w:rFonts w:ascii="Georgia" w:hAnsi="Georgia" w:cs="Calibri"/>
                      <w:color w:val="000000"/>
                      <w:sz w:val="22"/>
                      <w:szCs w:val="22"/>
                    </w:rPr>
                    <w:br/>
                    <w:t>1° de uitvoering van de functies op internationaal niveau;</w:t>
                  </w:r>
                  <w:r>
                    <w:rPr>
                      <w:rFonts w:ascii="Georgia" w:hAnsi="Georgia" w:cs="Calibri"/>
                      <w:color w:val="000000"/>
                      <w:sz w:val="22"/>
                      <w:szCs w:val="22"/>
                    </w:rPr>
                    <w:br/>
                    <w:t>2° een collectie cultureel erfgoed van minstens landelijke betekenis;</w:t>
                  </w:r>
                  <w:r>
                    <w:rPr>
                      <w:rFonts w:ascii="Georgia" w:hAnsi="Georgia" w:cs="Calibri"/>
                      <w:color w:val="000000"/>
                      <w:sz w:val="22"/>
                      <w:szCs w:val="22"/>
                    </w:rPr>
                    <w:br/>
                    <w:t>3° een cultureelerfgoedwerking met een schaalgrootte en reikwijdte van internationaal niveau;</w:t>
                  </w:r>
                  <w:r>
                    <w:rPr>
                      <w:rFonts w:ascii="Georgia" w:hAnsi="Georgia" w:cs="Calibri"/>
                      <w:color w:val="000000"/>
                      <w:sz w:val="22"/>
                      <w:szCs w:val="22"/>
                    </w:rPr>
                    <w:br/>
                    <w:t>4° een dienstverlenende rol op landelijk niveau, indien van toepassing;</w:t>
                  </w:r>
                  <w:r>
                    <w:rPr>
                      <w:rFonts w:ascii="Georgia" w:hAnsi="Georgia" w:cs="Calibri"/>
                      <w:color w:val="000000"/>
                      <w:sz w:val="22"/>
                      <w:szCs w:val="22"/>
                    </w:rPr>
                    <w:br/>
                    <w:t>5° de maatschappelijke en culturele inbedding en engagement;</w:t>
                  </w:r>
                  <w:r>
                    <w:rPr>
                      <w:rFonts w:ascii="Georgia" w:hAnsi="Georgia" w:cs="Calibri"/>
                      <w:color w:val="000000"/>
                      <w:sz w:val="22"/>
                      <w:szCs w:val="22"/>
                    </w:rPr>
                    <w:br/>
                    <w:t>6° een adequate infrastructuur voor de uitvoering van de functies, vermeld in punt 1° ;</w:t>
                  </w:r>
                  <w:r>
                    <w:rPr>
                      <w:rFonts w:ascii="Georgia" w:hAnsi="Georgia" w:cs="Calibri"/>
                      <w:color w:val="000000"/>
                      <w:sz w:val="22"/>
                      <w:szCs w:val="22"/>
                    </w:rPr>
                    <w:br/>
                    <w:t>7° een performant zakelijk en financieel beheer waarbij er sprake is van een dynamisch management en een solide financieel beleid en waarbij de principes van goed bestuur worden toegepast.</w:t>
                  </w:r>
                  <w:r>
                    <w:rPr>
                      <w:rFonts w:ascii="Georgia" w:hAnsi="Georgia" w:cs="Calibri"/>
                      <w:color w:val="000000"/>
                      <w:sz w:val="22"/>
                      <w:szCs w:val="22"/>
                    </w:rPr>
                    <w:br/>
                    <w:t>De Vlaamse Regering kan de criteria nader bepalen</w:t>
                  </w:r>
                </w:p>
              </w:tc>
              <w:tc>
                <w:tcPr>
                  <w:tcW w:w="36" w:type="dxa"/>
                  <w:vAlign w:val="center"/>
                  <w:hideMark/>
                </w:tcPr>
                <w:p w:rsidR="00BF1287" w:rsidRDefault="00BF1287" w:rsidP="00BF1287">
                  <w:pPr>
                    <w:rPr>
                      <w:sz w:val="20"/>
                      <w:szCs w:val="20"/>
                    </w:rPr>
                  </w:pPr>
                </w:p>
              </w:tc>
            </w:tr>
            <w:tr w:rsidR="00BF1287" w:rsidTr="00BF1287">
              <w:trPr>
                <w:trHeight w:val="36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88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b/>
                      <w:bCs/>
                      <w:color w:val="000000"/>
                      <w:sz w:val="22"/>
                      <w:szCs w:val="22"/>
                    </w:rPr>
                  </w:pPr>
                  <w:r>
                    <w:rPr>
                      <w:rFonts w:ascii="Georgia" w:hAnsi="Georgia" w:cs="Calibri"/>
                      <w:b/>
                      <w:bCs/>
                      <w:color w:val="000000"/>
                      <w:sz w:val="22"/>
                      <w:szCs w:val="22"/>
                    </w:rPr>
                    <w:t>Afdeling 5 Het indelen van collectiebeherende cultureelerfgoedorganisaties</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 26</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Voor een indeling bij het landelijke niveau gelden de volgende criteria:</w:t>
                  </w:r>
                  <w:r>
                    <w:rPr>
                      <w:rFonts w:ascii="Georgia" w:hAnsi="Georgia" w:cs="Calibri"/>
                      <w:color w:val="000000"/>
                      <w:sz w:val="22"/>
                      <w:szCs w:val="22"/>
                    </w:rPr>
                    <w:br/>
                    <w:t>1° de uitvoering van de functies op landelijk niveau;</w:t>
                  </w:r>
                  <w:r>
                    <w:rPr>
                      <w:rFonts w:ascii="Georgia" w:hAnsi="Georgia" w:cs="Calibri"/>
                      <w:color w:val="000000"/>
                      <w:sz w:val="22"/>
                      <w:szCs w:val="22"/>
                    </w:rPr>
                    <w:br/>
                    <w:t>2° een collectie cultureel erfgoed van landelijke betekenis;</w:t>
                  </w:r>
                  <w:r>
                    <w:rPr>
                      <w:rFonts w:ascii="Georgia" w:hAnsi="Georgia" w:cs="Calibri"/>
                      <w:color w:val="000000"/>
                      <w:sz w:val="22"/>
                      <w:szCs w:val="22"/>
                    </w:rPr>
                    <w:br/>
                    <w:t>3° een cultureelerfgoedwerking met een schaalgrootte en reikwijdte van landelijk niveau;</w:t>
                  </w:r>
                  <w:r>
                    <w:rPr>
                      <w:rFonts w:ascii="Georgia" w:hAnsi="Georgia" w:cs="Calibri"/>
                      <w:color w:val="000000"/>
                      <w:sz w:val="22"/>
                      <w:szCs w:val="22"/>
                    </w:rPr>
                    <w:br/>
                    <w:t>4° een adequate infrastructuur voor de uitvoering van de functies, vermeld in punt 1° ;</w:t>
                  </w:r>
                  <w:r>
                    <w:rPr>
                      <w:rFonts w:ascii="Georgia" w:hAnsi="Georgia" w:cs="Calibri"/>
                      <w:color w:val="000000"/>
                      <w:sz w:val="22"/>
                      <w:szCs w:val="22"/>
                    </w:rPr>
                    <w:br/>
                    <w:t>5° een kwaliteitsvol zakelijk en financieel beheer waarbij er sprake is van een solide financieel beleid en waarbij de principes van goed bestuur worden toegepast.</w:t>
                  </w:r>
                  <w:r>
                    <w:rPr>
                      <w:rFonts w:ascii="Georgia" w:hAnsi="Georgia" w:cs="Calibri"/>
                      <w:color w:val="000000"/>
                      <w:sz w:val="22"/>
                      <w:szCs w:val="22"/>
                    </w:rPr>
                    <w:br/>
                    <w:t>Voor een indeling bij het regionale niveau gelden de volgende criteria:</w:t>
                  </w:r>
                  <w:r>
                    <w:rPr>
                      <w:rFonts w:ascii="Georgia" w:hAnsi="Georgia" w:cs="Calibri"/>
                      <w:color w:val="000000"/>
                      <w:sz w:val="22"/>
                      <w:szCs w:val="22"/>
                    </w:rPr>
                    <w:br/>
                    <w:t>1° de uitvoering van de functies op regionaal niveau;</w:t>
                  </w:r>
                  <w:r>
                    <w:rPr>
                      <w:rFonts w:ascii="Georgia" w:hAnsi="Georgia" w:cs="Calibri"/>
                      <w:color w:val="000000"/>
                      <w:sz w:val="22"/>
                      <w:szCs w:val="22"/>
                    </w:rPr>
                    <w:br/>
                    <w:t>2° een collectie cultureel erfgoed van regionale betekenis;</w:t>
                  </w:r>
                  <w:r>
                    <w:rPr>
                      <w:rFonts w:ascii="Georgia" w:hAnsi="Georgia" w:cs="Calibri"/>
                      <w:color w:val="000000"/>
                      <w:sz w:val="22"/>
                      <w:szCs w:val="22"/>
                    </w:rPr>
                    <w:br/>
                    <w:t>3° een cultureelerfgoedwerking met een schaalgrootte en reikwijdte van regionaal niveau;</w:t>
                  </w:r>
                  <w:r>
                    <w:rPr>
                      <w:rFonts w:ascii="Georgia" w:hAnsi="Georgia" w:cs="Calibri"/>
                      <w:color w:val="000000"/>
                      <w:sz w:val="22"/>
                      <w:szCs w:val="22"/>
                    </w:rPr>
                    <w:br/>
                    <w:t xml:space="preserve">4° een adequate infrastructuur voor de </w:t>
                  </w:r>
                  <w:r>
                    <w:rPr>
                      <w:rFonts w:ascii="Georgia" w:hAnsi="Georgia" w:cs="Calibri"/>
                      <w:color w:val="000000"/>
                      <w:sz w:val="22"/>
                      <w:szCs w:val="22"/>
                    </w:rPr>
                    <w:lastRenderedPageBreak/>
                    <w:t>uitvoering van de functies, vermeld in punt 1° ;</w:t>
                  </w:r>
                  <w:r>
                    <w:rPr>
                      <w:rFonts w:ascii="Georgia" w:hAnsi="Georgia" w:cs="Calibri"/>
                      <w:color w:val="000000"/>
                      <w:sz w:val="22"/>
                      <w:szCs w:val="22"/>
                    </w:rPr>
                    <w:br/>
                    <w:t>5° een kwaliteitsvol zakelijk en financieel beheer waarbij de principes van goed bestuur worden toegepast.</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9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4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64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66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bl>
          <w:p w:rsidR="00BF1287" w:rsidRDefault="00BF1287"/>
        </w:tc>
        <w:tc>
          <w:tcPr>
            <w:tcW w:w="4721" w:type="dxa"/>
          </w:tcPr>
          <w:tbl>
            <w:tblPr>
              <w:tblW w:w="5296" w:type="dxa"/>
              <w:tblCellMar>
                <w:top w:w="15" w:type="dxa"/>
                <w:left w:w="70" w:type="dxa"/>
                <w:right w:w="70" w:type="dxa"/>
              </w:tblCellMar>
              <w:tblLook w:val="04A0" w:firstRow="1" w:lastRow="0" w:firstColumn="1" w:lastColumn="0" w:noHBand="0" w:noVBand="1"/>
            </w:tblPr>
            <w:tblGrid>
              <w:gridCol w:w="4304"/>
              <w:gridCol w:w="145"/>
            </w:tblGrid>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eastAsia="Times New Roman"/>
                    </w:rPr>
                  </w:pP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B940FF"/>
                      <w:sz w:val="22"/>
                      <w:szCs w:val="22"/>
                    </w:rPr>
                  </w:pPr>
                  <w:r>
                    <w:rPr>
                      <w:rFonts w:ascii="Georgia" w:hAnsi="Georgia" w:cs="Calibri"/>
                      <w:b/>
                      <w:bCs/>
                      <w:color w:val="B940FF"/>
                      <w:sz w:val="22"/>
                      <w:szCs w:val="22"/>
                    </w:rPr>
                    <w:t>Uitvoeringsbesluit 24 feb. 2017</w:t>
                  </w: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B940FF"/>
                      <w:sz w:val="22"/>
                      <w:szCs w:val="22"/>
                    </w:rPr>
                  </w:pPr>
                </w:p>
              </w:tc>
            </w:tr>
            <w:tr w:rsidR="00BF1287" w:rsidTr="00BF1287">
              <w:trPr>
                <w:gridAfter w:val="1"/>
                <w:wAfter w:w="36" w:type="dxa"/>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HD 3 De aanduiding van collectiebeherende cultureelerfgoedorganisaties als cultureelerfgoedinstelling</w:t>
                  </w:r>
                  <w:r>
                    <w:rPr>
                      <w:rFonts w:ascii="Georgia" w:hAnsi="Georgia" w:cs="Calibri"/>
                      <w:color w:val="000000"/>
                      <w:sz w:val="22"/>
                      <w:szCs w:val="22"/>
                    </w:rPr>
                    <w:br/>
                    <w:t>Af. 1 Nadere specificaties van de criteria voor een aanduiding als cultureelerfgoedinstelling</w:t>
                  </w: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50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6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 25</w:t>
                  </w:r>
                </w:p>
              </w:tc>
              <w:tc>
                <w:tcPr>
                  <w:tcW w:w="36" w:type="dxa"/>
                  <w:vAlign w:val="center"/>
                  <w:hideMark/>
                </w:tcPr>
                <w:p w:rsidR="00BF1287" w:rsidRDefault="00BF1287" w:rsidP="00BF1287">
                  <w:pPr>
                    <w:rPr>
                      <w:sz w:val="20"/>
                      <w:szCs w:val="20"/>
                    </w:rPr>
                  </w:pPr>
                </w:p>
              </w:tc>
            </w:tr>
            <w:tr w:rsidR="00BF1287" w:rsidTr="00BF1287">
              <w:trPr>
                <w:trHeight w:val="88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Een collectiebeherende organisatie voldoet aan het criterium vermeld in artikel 18, eerste lid, 7°, van het Cultureelerfgoeddecreet van 24 februari 2017, als ze een performant zakelijk en financieel beheer voert en de principes van goed bestuur toepast. De wijze waarop dat uitgevoerd wordt, geldt als voorbeeld naar andere actoren in het cultureelerfgoedveld.</w:t>
                  </w:r>
                  <w:r>
                    <w:rPr>
                      <w:rFonts w:ascii="Georgia" w:hAnsi="Georgia" w:cs="Calibri"/>
                      <w:color w:val="000000"/>
                      <w:sz w:val="22"/>
                      <w:szCs w:val="22"/>
                    </w:rPr>
                    <w:br/>
                  </w:r>
                  <w:r>
                    <w:rPr>
                      <w:rFonts w:ascii="Georgia" w:hAnsi="Georgia" w:cs="Calibri"/>
                      <w:color w:val="000000"/>
                      <w:sz w:val="22"/>
                      <w:szCs w:val="22"/>
                    </w:rPr>
                    <w:br/>
                    <w:t>De kwaliteit van het zakelijk en financieel beheer wordt beoordeeld aan de hand van:</w:t>
                  </w:r>
                  <w:r>
                    <w:rPr>
                      <w:rFonts w:ascii="Georgia" w:hAnsi="Georgia" w:cs="Calibri"/>
                      <w:color w:val="000000"/>
                      <w:sz w:val="22"/>
                      <w:szCs w:val="22"/>
                    </w:rPr>
                    <w:br/>
                    <w:t>1° de kwaliteit van de doelstellingen die geformuleerd worden op basis van de visie, waarbij:</w:t>
                  </w:r>
                  <w:r>
                    <w:rPr>
                      <w:rFonts w:ascii="Georgia" w:hAnsi="Georgia" w:cs="Calibri"/>
                      <w:color w:val="000000"/>
                      <w:sz w:val="22"/>
                      <w:szCs w:val="22"/>
                    </w:rPr>
                    <w:br/>
                    <w:t>a) de doelstellingen periodiek geformuleerd worden op basis van een planning;</w:t>
                  </w:r>
                  <w:r>
                    <w:rPr>
                      <w:rFonts w:ascii="Georgia" w:hAnsi="Georgia" w:cs="Calibri"/>
                      <w:color w:val="000000"/>
                      <w:sz w:val="22"/>
                      <w:szCs w:val="22"/>
                    </w:rPr>
                    <w:br/>
                    <w:t xml:space="preserve">b) het bereiken van de doelstellingen </w:t>
                  </w:r>
                  <w:r>
                    <w:rPr>
                      <w:rFonts w:ascii="Georgia" w:hAnsi="Georgia" w:cs="Calibri"/>
                      <w:color w:val="000000"/>
                      <w:sz w:val="22"/>
                      <w:szCs w:val="22"/>
                    </w:rPr>
                    <w:lastRenderedPageBreak/>
                    <w:t>geëvalueerd wordt;</w:t>
                  </w:r>
                  <w:r>
                    <w:rPr>
                      <w:rFonts w:ascii="Georgia" w:hAnsi="Georgia" w:cs="Calibri"/>
                      <w:color w:val="000000"/>
                      <w:sz w:val="22"/>
                      <w:szCs w:val="22"/>
                    </w:rPr>
                    <w:br/>
                    <w:t>c) de visie, de doelstellingen en de evaluatie van de doelstellingen intern gecommuniceerd worden;</w:t>
                  </w:r>
                  <w:r>
                    <w:rPr>
                      <w:rFonts w:ascii="Georgia" w:hAnsi="Georgia" w:cs="Calibri"/>
                      <w:color w:val="000000"/>
                      <w:sz w:val="22"/>
                      <w:szCs w:val="22"/>
                    </w:rPr>
                    <w:br/>
                    <w:t>2° de wijze waarop de collectiebeherende organisatie wordt aangestuurd en de mate waarin daarbij rekening gehouden wordt met belanghebbenden, waarbij:</w:t>
                  </w:r>
                  <w:r>
                    <w:rPr>
                      <w:rFonts w:ascii="Georgia" w:hAnsi="Georgia" w:cs="Calibri"/>
                      <w:color w:val="000000"/>
                      <w:sz w:val="22"/>
                      <w:szCs w:val="22"/>
                    </w:rPr>
                    <w:br/>
                    <w:t>a) de bestuursorganen of adviesorganen evenwichtig samengesteld zijn, rekening houdend met belanghebbenden en relevante expertises;</w:t>
                  </w:r>
                  <w:r>
                    <w:rPr>
                      <w:rFonts w:ascii="Georgia" w:hAnsi="Georgia" w:cs="Calibri"/>
                      <w:color w:val="000000"/>
                      <w:sz w:val="22"/>
                      <w:szCs w:val="22"/>
                    </w:rPr>
                    <w:br/>
                    <w:t>b) belanghebbenden, onder wie een vertegenwoordiging van de cultureelerfgoedgemeenschappen, betrokken worden bij de planning en de evaluatie;</w:t>
                  </w:r>
                  <w:r>
                    <w:rPr>
                      <w:rFonts w:ascii="Georgia" w:hAnsi="Georgia" w:cs="Calibri"/>
                      <w:color w:val="000000"/>
                      <w:sz w:val="22"/>
                      <w:szCs w:val="22"/>
                    </w:rPr>
                    <w:br/>
                    <w:t>c) er een dynamisch management wordt gevoerd;</w:t>
                  </w:r>
                  <w:r>
                    <w:rPr>
                      <w:rFonts w:ascii="Georgia" w:hAnsi="Georgia" w:cs="Calibri"/>
                      <w:color w:val="000000"/>
                      <w:sz w:val="22"/>
                      <w:szCs w:val="22"/>
                    </w:rPr>
                    <w:br/>
                    <w:t>3° de wijze waarop de collectiebeherende organisatie georganiseerd is, waarbij:</w:t>
                  </w:r>
                  <w:r>
                    <w:rPr>
                      <w:rFonts w:ascii="Georgia" w:hAnsi="Georgia" w:cs="Calibri"/>
                      <w:color w:val="000000"/>
                      <w:sz w:val="22"/>
                      <w:szCs w:val="22"/>
                    </w:rPr>
                    <w:br/>
                    <w:t>a) er schriftelijke afspraken zijn over procedures en bevoegdheden;</w:t>
                  </w:r>
                  <w:r>
                    <w:rPr>
                      <w:rFonts w:ascii="Georgia" w:hAnsi="Georgia" w:cs="Calibri"/>
                      <w:color w:val="000000"/>
                      <w:sz w:val="22"/>
                      <w:szCs w:val="22"/>
                    </w:rPr>
                    <w:br/>
                    <w:t>b) een interne controle wordt georganiseerd op basis van een risicoanalyse;</w:t>
                  </w:r>
                  <w:r>
                    <w:rPr>
                      <w:rFonts w:ascii="Georgia" w:hAnsi="Georgia" w:cs="Calibri"/>
                      <w:color w:val="000000"/>
                      <w:sz w:val="22"/>
                      <w:szCs w:val="22"/>
                    </w:rPr>
                    <w:br/>
                    <w:t>c) de principes inzake de overheidsopdrachten in acht genomen worden;</w:t>
                  </w:r>
                  <w:r>
                    <w:rPr>
                      <w:rFonts w:ascii="Georgia" w:hAnsi="Georgia" w:cs="Calibri"/>
                      <w:color w:val="000000"/>
                      <w:sz w:val="22"/>
                      <w:szCs w:val="22"/>
                    </w:rPr>
                    <w:br/>
                    <w:t>4° het personeels- en verloningsbeleid dat gevoerd wordt en dat afgestemd is op de schaalgrootte van de organisatie, waarbij:</w:t>
                  </w:r>
                  <w:r>
                    <w:rPr>
                      <w:rFonts w:ascii="Georgia" w:hAnsi="Georgia" w:cs="Calibri"/>
                      <w:color w:val="000000"/>
                      <w:sz w:val="22"/>
                      <w:szCs w:val="22"/>
                    </w:rPr>
                    <w:br/>
                    <w:t>a) er een personeelsplan en een organogram zijn;</w:t>
                  </w:r>
                  <w:r>
                    <w:rPr>
                      <w:rFonts w:ascii="Georgia" w:hAnsi="Georgia" w:cs="Calibri"/>
                      <w:color w:val="000000"/>
                      <w:sz w:val="22"/>
                      <w:szCs w:val="22"/>
                    </w:rPr>
                    <w:br/>
                    <w:t xml:space="preserve">b) alle functies, zowel van de professionele als van de vrijwillige medewerkers, </w:t>
                  </w:r>
                  <w:r>
                    <w:rPr>
                      <w:rFonts w:ascii="Georgia" w:hAnsi="Georgia" w:cs="Calibri"/>
                      <w:color w:val="000000"/>
                      <w:sz w:val="22"/>
                      <w:szCs w:val="22"/>
                    </w:rPr>
                    <w:lastRenderedPageBreak/>
                    <w:t>beschikken over een functiebeschrijving met een omschreven takenpakket en de competenties die nodig zijn om de functie naar behoren uit te voeren;</w:t>
                  </w:r>
                  <w:r>
                    <w:rPr>
                      <w:rFonts w:ascii="Georgia" w:hAnsi="Georgia" w:cs="Calibri"/>
                      <w:color w:val="000000"/>
                      <w:sz w:val="22"/>
                      <w:szCs w:val="22"/>
                    </w:rPr>
                    <w:br/>
                    <w:t>c) de professionele en vrijwillige medewerkers over voldoende zakelijke en inhoudelijke competenties beschikken voor de taken die ze vervullen en bijscholing kunnen volgen om zich daarin verder te bekwamen;</w:t>
                  </w:r>
                  <w:r>
                    <w:rPr>
                      <w:rFonts w:ascii="Georgia" w:hAnsi="Georgia" w:cs="Calibri"/>
                      <w:color w:val="000000"/>
                      <w:sz w:val="22"/>
                      <w:szCs w:val="22"/>
                    </w:rPr>
                    <w:br/>
                    <w:t>d) vrijwilligers voldoende garanties krijgen op het vlak van sociale en burgerrechtelijke bescherming;</w:t>
                  </w:r>
                  <w:r>
                    <w:rPr>
                      <w:rFonts w:ascii="Georgia" w:hAnsi="Georgia" w:cs="Calibri"/>
                      <w:color w:val="000000"/>
                      <w:sz w:val="22"/>
                      <w:szCs w:val="22"/>
                    </w:rPr>
                    <w:br/>
                    <w:t>5° het voeren van een gezond financieel beleid dat:</w:t>
                  </w:r>
                  <w:r>
                    <w:rPr>
                      <w:rFonts w:ascii="Georgia" w:hAnsi="Georgia" w:cs="Calibri"/>
                      <w:color w:val="000000"/>
                      <w:sz w:val="22"/>
                      <w:szCs w:val="22"/>
                    </w:rPr>
                    <w:br/>
                    <w:t>a) voorziet in een solide financiële basis voor de cultureelerfgoedwerking;</w:t>
                  </w:r>
                  <w:r>
                    <w:rPr>
                      <w:rFonts w:ascii="Georgia" w:hAnsi="Georgia" w:cs="Calibri"/>
                      <w:color w:val="000000"/>
                      <w:sz w:val="22"/>
                      <w:szCs w:val="22"/>
                    </w:rPr>
                    <w:br/>
                    <w:t>b) vertrekt vanuit een realistische en evenwichtige begroting en die regelmatig wordt opgevolgd;</w:t>
                  </w:r>
                  <w:r>
                    <w:rPr>
                      <w:rFonts w:ascii="Georgia" w:hAnsi="Georgia" w:cs="Calibri"/>
                      <w:color w:val="000000"/>
                      <w:sz w:val="22"/>
                      <w:szCs w:val="22"/>
                    </w:rPr>
                    <w:br/>
                    <w:t>c) voorziet in een transparante rapportering aan verschillende stakeholders, waarbij middelen gekoppeld worden aan de doelstellingen;</w:t>
                  </w:r>
                  <w:r>
                    <w:rPr>
                      <w:rFonts w:ascii="Georgia" w:hAnsi="Georgia" w:cs="Calibri"/>
                      <w:color w:val="000000"/>
                      <w:sz w:val="22"/>
                      <w:szCs w:val="22"/>
                    </w:rPr>
                    <w:br/>
                    <w:t>d) voorziet in een beleid rond aanvullende financiering met aantoonbare resultaten;</w:t>
                  </w:r>
                  <w:r>
                    <w:rPr>
                      <w:rFonts w:ascii="Georgia" w:hAnsi="Georgia" w:cs="Calibri"/>
                      <w:color w:val="000000"/>
                      <w:sz w:val="22"/>
                      <w:szCs w:val="22"/>
                    </w:rPr>
                    <w:br/>
                    <w:t>6° de zorg voor het eigen archief.</w:t>
                  </w:r>
                  <w:r>
                    <w:rPr>
                      <w:rFonts w:ascii="Georgia" w:hAnsi="Georgia" w:cs="Calibri"/>
                      <w:color w:val="000000"/>
                      <w:sz w:val="22"/>
                      <w:szCs w:val="22"/>
                    </w:rPr>
                    <w:br/>
                  </w:r>
                  <w:r>
                    <w:rPr>
                      <w:rFonts w:ascii="Georgia" w:hAnsi="Georgia" w:cs="Calibri"/>
                      <w:color w:val="000000"/>
                      <w:sz w:val="22"/>
                      <w:szCs w:val="22"/>
                    </w:rPr>
                    <w:br/>
                    <w:t>Een collectiebeherende organisatie past de principes van goed bestuur toe, vermeld in hoofdstuk 5, afdeling 3.</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b/>
                      <w:bCs/>
                      <w:color w:val="000000"/>
                      <w:sz w:val="22"/>
                      <w:szCs w:val="22"/>
                    </w:rPr>
                  </w:pPr>
                  <w:r>
                    <w:rPr>
                      <w:rFonts w:ascii="Georgia" w:hAnsi="Georgia" w:cs="Calibri"/>
                      <w:b/>
                      <w:bCs/>
                      <w:color w:val="000000"/>
                      <w:sz w:val="22"/>
                      <w:szCs w:val="22"/>
                    </w:rPr>
                    <w:t xml:space="preserve">HOOFDSTUK 4 De indeling van collectiebeherende </w:t>
                  </w:r>
                  <w:r>
                    <w:rPr>
                      <w:rFonts w:ascii="Georgia" w:hAnsi="Georgia" w:cs="Calibri"/>
                      <w:b/>
                      <w:bCs/>
                      <w:color w:val="000000"/>
                      <w:sz w:val="22"/>
                      <w:szCs w:val="22"/>
                    </w:rPr>
                    <w:lastRenderedPageBreak/>
                    <w:t>cultureelerfgoedorganisaties-Afdeling 1 Nadere specificaties van de criteria voor de indeling van collectiebeherende organisaties bij het landelijke niveau</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b/>
                      <w:bCs/>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rPr>
                  </w:pPr>
                  <w:r>
                    <w:rPr>
                      <w:rFonts w:ascii="Georgia" w:hAnsi="Georgia" w:cs="Calibri"/>
                      <w:color w:val="000000"/>
                    </w:rPr>
                    <w:t>art. 34</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Een collectiebeherende organisatie voldoet aan het criterium, vermeld in artikel 26, eerste lid, 5°, van het Cultureelerfgoeddecreet van 24 februari 2017, als ze een kwaliteitsvol zakelijk beheer voert en de principes van goed bestuur toepast.</w:t>
                  </w:r>
                  <w:r>
                    <w:rPr>
                      <w:rFonts w:ascii="Georgia" w:hAnsi="Georgia" w:cs="Calibri"/>
                      <w:color w:val="000000"/>
                      <w:sz w:val="22"/>
                      <w:szCs w:val="22"/>
                    </w:rPr>
                    <w:br/>
                    <w:t>De kwaliteit van het zakelijk en financieel beheer wordt beoordeeld aan de hand van:</w:t>
                  </w:r>
                  <w:r>
                    <w:rPr>
                      <w:rFonts w:ascii="Georgia" w:hAnsi="Georgia" w:cs="Calibri"/>
                      <w:color w:val="000000"/>
                      <w:sz w:val="22"/>
                      <w:szCs w:val="22"/>
                    </w:rPr>
                    <w:br/>
                    <w:t>1° de kwaliteit van de doelstellingen die geformuleerd worden op basis van de visie, waarbij:</w:t>
                  </w:r>
                  <w:r>
                    <w:rPr>
                      <w:rFonts w:ascii="Georgia" w:hAnsi="Georgia" w:cs="Calibri"/>
                      <w:color w:val="000000"/>
                      <w:sz w:val="22"/>
                      <w:szCs w:val="22"/>
                    </w:rPr>
                    <w:br/>
                    <w:t>a) de doelstellingen periodiek geformuleerd worden op basis van een planning;</w:t>
                  </w:r>
                  <w:r>
                    <w:rPr>
                      <w:rFonts w:ascii="Georgia" w:hAnsi="Georgia" w:cs="Calibri"/>
                      <w:color w:val="000000"/>
                      <w:sz w:val="22"/>
                      <w:szCs w:val="22"/>
                    </w:rPr>
                    <w:br/>
                    <w:t>b) het bereiken van de doelstellingen geëvalueerd wordt;</w:t>
                  </w:r>
                  <w:r>
                    <w:rPr>
                      <w:rFonts w:ascii="Georgia" w:hAnsi="Georgia" w:cs="Calibri"/>
                      <w:color w:val="000000"/>
                      <w:sz w:val="22"/>
                      <w:szCs w:val="22"/>
                    </w:rPr>
                    <w:br/>
                    <w:t>c) de visie, de doelstellingen, en de evaluatie van de doelstellingen intern gecommuniceerd worden;</w:t>
                  </w:r>
                  <w:r>
                    <w:rPr>
                      <w:rFonts w:ascii="Georgia" w:hAnsi="Georgia" w:cs="Calibri"/>
                      <w:color w:val="000000"/>
                      <w:sz w:val="22"/>
                      <w:szCs w:val="22"/>
                    </w:rPr>
                    <w:br/>
                    <w:t>2° de wijze waarop de collectiebeherende organisatie wordt aangestuurd en de mate waarin daarbij rekening gehouden wordt met belanghebbenden, waarbij:</w:t>
                  </w:r>
                  <w:r>
                    <w:rPr>
                      <w:rFonts w:ascii="Georgia" w:hAnsi="Georgia" w:cs="Calibri"/>
                      <w:color w:val="000000"/>
                      <w:sz w:val="22"/>
                      <w:szCs w:val="22"/>
                    </w:rPr>
                    <w:br/>
                    <w:t>a) de bestuursorganen of de adviesorganen evenwichtig samengesteld zijn, rekening houdend met belanghebbenden en relevante expertises;</w:t>
                  </w:r>
                  <w:r>
                    <w:rPr>
                      <w:rFonts w:ascii="Georgia" w:hAnsi="Georgia" w:cs="Calibri"/>
                      <w:color w:val="000000"/>
                      <w:sz w:val="22"/>
                      <w:szCs w:val="22"/>
                    </w:rPr>
                    <w:br/>
                    <w:t xml:space="preserve">b) belanghebbenden, onder wie een </w:t>
                  </w:r>
                  <w:r>
                    <w:rPr>
                      <w:rFonts w:ascii="Georgia" w:hAnsi="Georgia" w:cs="Calibri"/>
                      <w:color w:val="000000"/>
                      <w:sz w:val="22"/>
                      <w:szCs w:val="22"/>
                    </w:rPr>
                    <w:lastRenderedPageBreak/>
                    <w:t>vertegenwoordiging van de cultureelerfgoedgemeenschappen, betrokken worden bij de planning en de evaluatie;</w:t>
                  </w:r>
                  <w:r>
                    <w:rPr>
                      <w:rFonts w:ascii="Georgia" w:hAnsi="Georgia" w:cs="Calibri"/>
                      <w:color w:val="000000"/>
                      <w:sz w:val="22"/>
                      <w:szCs w:val="22"/>
                    </w:rPr>
                    <w:br/>
                    <w:t>3° de wijze waarop de collectiebeherende organisatie georganiseerd is, waarbij:</w:t>
                  </w:r>
                  <w:r>
                    <w:rPr>
                      <w:rFonts w:ascii="Georgia" w:hAnsi="Georgia" w:cs="Calibri"/>
                      <w:color w:val="000000"/>
                      <w:sz w:val="22"/>
                      <w:szCs w:val="22"/>
                    </w:rPr>
                    <w:br/>
                    <w:t>a) er schriftelijke afspraken zijn over procedures en bevoegdheden;</w:t>
                  </w:r>
                  <w:r>
                    <w:rPr>
                      <w:rFonts w:ascii="Georgia" w:hAnsi="Georgia" w:cs="Calibri"/>
                      <w:color w:val="000000"/>
                      <w:sz w:val="22"/>
                      <w:szCs w:val="22"/>
                    </w:rPr>
                    <w:br/>
                    <w:t>b) een interne controle wordt georganiseerd op basis van een risicoanalyse;</w:t>
                  </w:r>
                  <w:r>
                    <w:rPr>
                      <w:rFonts w:ascii="Georgia" w:hAnsi="Georgia" w:cs="Calibri"/>
                      <w:color w:val="000000"/>
                      <w:sz w:val="22"/>
                      <w:szCs w:val="22"/>
                    </w:rPr>
                    <w:br/>
                    <w:t>c) de principes inzake de overheidsopdrachten in acht genomen worden;</w:t>
                  </w:r>
                  <w:r>
                    <w:rPr>
                      <w:rFonts w:ascii="Georgia" w:hAnsi="Georgia" w:cs="Calibri"/>
                      <w:color w:val="000000"/>
                      <w:sz w:val="22"/>
                      <w:szCs w:val="22"/>
                    </w:rPr>
                    <w:br/>
                    <w:t>4° het personeels- en verloningsbeleid dat gevoerd wordt en dat afgestemd is op de schaalgrootte van de organisatie, waarbij:</w:t>
                  </w:r>
                  <w:r>
                    <w:rPr>
                      <w:rFonts w:ascii="Georgia" w:hAnsi="Georgia" w:cs="Calibri"/>
                      <w:color w:val="000000"/>
                      <w:sz w:val="22"/>
                      <w:szCs w:val="22"/>
                    </w:rPr>
                    <w:br/>
                    <w:t>a) er een personeelsplan en een organogram zijn;</w:t>
                  </w:r>
                  <w:r>
                    <w:rPr>
                      <w:rFonts w:ascii="Georgia" w:hAnsi="Georgia" w:cs="Calibri"/>
                      <w:color w:val="000000"/>
                      <w:sz w:val="22"/>
                      <w:szCs w:val="22"/>
                    </w:rPr>
                    <w:br/>
                    <w:t>b) alle functies, zowel van de professionele als van de vrijwillige medewerkers, beschikken over een functiebeschrijving met een omschreven takenpakket en de competenties die nodig zijn om de functie naar behoren uit te voeren;</w:t>
                  </w:r>
                  <w:r>
                    <w:rPr>
                      <w:rFonts w:ascii="Georgia" w:hAnsi="Georgia" w:cs="Calibri"/>
                      <w:color w:val="000000"/>
                      <w:sz w:val="22"/>
                      <w:szCs w:val="22"/>
                    </w:rPr>
                    <w:br/>
                    <w:t>c) de professionele en vrijwillige medewerkers over voldoende zakelijke en inhoudelijke competenties beschikken voor de taken die ze vervullen en bijscholing kunnen volgen om zich daarin verder te bekwamen;</w:t>
                  </w:r>
                  <w:r>
                    <w:rPr>
                      <w:rFonts w:ascii="Georgia" w:hAnsi="Georgia" w:cs="Calibri"/>
                      <w:color w:val="000000"/>
                      <w:sz w:val="22"/>
                      <w:szCs w:val="22"/>
                    </w:rPr>
                    <w:br/>
                    <w:t>d) vrijwilligers voldoende garanties krijgen op het vlak van sociale en burgerrechtelijke bescherming;</w:t>
                  </w:r>
                  <w:r>
                    <w:rPr>
                      <w:rFonts w:ascii="Georgia" w:hAnsi="Georgia" w:cs="Calibri"/>
                      <w:color w:val="000000"/>
                      <w:sz w:val="22"/>
                      <w:szCs w:val="22"/>
                    </w:rPr>
                    <w:br/>
                    <w:t>5° het voeren van een gezond financieel beleid dat:</w:t>
                  </w:r>
                  <w:r>
                    <w:rPr>
                      <w:rFonts w:ascii="Georgia" w:hAnsi="Georgia" w:cs="Calibri"/>
                      <w:color w:val="000000"/>
                      <w:sz w:val="22"/>
                      <w:szCs w:val="22"/>
                    </w:rPr>
                    <w:br/>
                  </w:r>
                  <w:r>
                    <w:rPr>
                      <w:rFonts w:ascii="Georgia" w:hAnsi="Georgia" w:cs="Calibri"/>
                      <w:color w:val="000000"/>
                      <w:sz w:val="22"/>
                      <w:szCs w:val="22"/>
                    </w:rPr>
                    <w:lastRenderedPageBreak/>
                    <w:t>a) voorziet in een gezonde financiële basis voor de cultureelerfgoedwerking;</w:t>
                  </w:r>
                  <w:r>
                    <w:rPr>
                      <w:rFonts w:ascii="Georgia" w:hAnsi="Georgia" w:cs="Calibri"/>
                      <w:color w:val="000000"/>
                      <w:sz w:val="22"/>
                      <w:szCs w:val="22"/>
                    </w:rPr>
                    <w:br/>
                    <w:t>b) vertrekt vanuit een realistische en evenwichtige begroting die regelmatig wordt opgevolgd;</w:t>
                  </w:r>
                  <w:r>
                    <w:rPr>
                      <w:rFonts w:ascii="Georgia" w:hAnsi="Georgia" w:cs="Calibri"/>
                      <w:color w:val="000000"/>
                      <w:sz w:val="22"/>
                      <w:szCs w:val="22"/>
                    </w:rPr>
                    <w:br/>
                    <w:t>c) voorziet in een beleid rond aanvullende financiering;</w:t>
                  </w:r>
                  <w:r>
                    <w:rPr>
                      <w:rFonts w:ascii="Georgia" w:hAnsi="Georgia" w:cs="Calibri"/>
                      <w:color w:val="000000"/>
                      <w:sz w:val="22"/>
                      <w:szCs w:val="22"/>
                    </w:rPr>
                    <w:br/>
                    <w:t>6° de zorg voor het eigen archief.</w:t>
                  </w:r>
                  <w:r>
                    <w:rPr>
                      <w:rFonts w:ascii="Georgia" w:hAnsi="Georgia" w:cs="Calibri"/>
                      <w:color w:val="000000"/>
                      <w:sz w:val="22"/>
                      <w:szCs w:val="22"/>
                    </w:rPr>
                    <w:br/>
                    <w:t>Een collectiebeherende organisatie past de principes van goed bestuur toe zoals vermeld in, hoofdstuk 5, afdeling 3.</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9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 39</w:t>
                  </w:r>
                </w:p>
              </w:tc>
              <w:tc>
                <w:tcPr>
                  <w:tcW w:w="36" w:type="dxa"/>
                  <w:vAlign w:val="center"/>
                  <w:hideMark/>
                </w:tcPr>
                <w:p w:rsidR="00BF1287" w:rsidRDefault="00BF1287" w:rsidP="00BF1287">
                  <w:pPr>
                    <w:rPr>
                      <w:sz w:val="20"/>
                      <w:szCs w:val="20"/>
                    </w:rPr>
                  </w:pPr>
                </w:p>
              </w:tc>
            </w:tr>
            <w:tr w:rsidR="00BF1287" w:rsidTr="00BF1287">
              <w:trPr>
                <w:trHeight w:val="4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Een collectiebeherende organisatie voldoet aan het criterium, vermeld in artikel 26, tweede lid, 5°, van het Cultureelerfgoeddecreet van 24 februari 2017, als ze een kwaliteitsvol zakelijk beheer voert en de principes van goed bestuur toepast.</w:t>
                  </w:r>
                  <w:r>
                    <w:rPr>
                      <w:rFonts w:ascii="Georgia" w:hAnsi="Georgia" w:cs="Calibri"/>
                      <w:color w:val="000000"/>
                      <w:sz w:val="22"/>
                      <w:szCs w:val="22"/>
                    </w:rPr>
                    <w:br/>
                    <w:t>De kwaliteit van het zakelijk en financieel beheer wordt beoordeeld aan de hand van:</w:t>
                  </w:r>
                  <w:r>
                    <w:rPr>
                      <w:rFonts w:ascii="Georgia" w:hAnsi="Georgia" w:cs="Calibri"/>
                      <w:color w:val="000000"/>
                      <w:sz w:val="22"/>
                      <w:szCs w:val="22"/>
                    </w:rPr>
                    <w:br/>
                    <w:t>1° de kwaliteit van de doelstellingen die geformuleerd worden op basis van de visie, waarbij:</w:t>
                  </w:r>
                  <w:r>
                    <w:rPr>
                      <w:rFonts w:ascii="Georgia" w:hAnsi="Georgia" w:cs="Calibri"/>
                      <w:color w:val="000000"/>
                      <w:sz w:val="22"/>
                      <w:szCs w:val="22"/>
                    </w:rPr>
                    <w:br/>
                    <w:t>a) de doelstellingen periodiek geformuleerd worden op basis van een planning;</w:t>
                  </w:r>
                  <w:r>
                    <w:rPr>
                      <w:rFonts w:ascii="Georgia" w:hAnsi="Georgia" w:cs="Calibri"/>
                      <w:color w:val="000000"/>
                      <w:sz w:val="22"/>
                      <w:szCs w:val="22"/>
                    </w:rPr>
                    <w:br/>
                    <w:t>b) het bereiken van de doelstellingen geëvalueerd wordt;</w:t>
                  </w:r>
                  <w:r>
                    <w:rPr>
                      <w:rFonts w:ascii="Georgia" w:hAnsi="Georgia" w:cs="Calibri"/>
                      <w:color w:val="000000"/>
                      <w:sz w:val="22"/>
                      <w:szCs w:val="22"/>
                    </w:rPr>
                    <w:br/>
                    <w:t xml:space="preserve">2° de wijze waarop de collectiebeherende organisatie wordt aangestuurd en de mate waarin daarbij rekening gehouden wordt met belanghebbenden, waarbij er een evenwichtige samenstelling is van de bestuursorganen of adviesorganen, </w:t>
                  </w:r>
                  <w:r>
                    <w:rPr>
                      <w:rFonts w:ascii="Georgia" w:hAnsi="Georgia" w:cs="Calibri"/>
                      <w:color w:val="000000"/>
                      <w:sz w:val="22"/>
                      <w:szCs w:val="22"/>
                    </w:rPr>
                    <w:lastRenderedPageBreak/>
                    <w:t>rekening houdend met belanghebbenden en relevante expertises;</w:t>
                  </w:r>
                  <w:r>
                    <w:rPr>
                      <w:rFonts w:ascii="Georgia" w:hAnsi="Georgia" w:cs="Calibri"/>
                      <w:color w:val="000000"/>
                      <w:sz w:val="22"/>
                      <w:szCs w:val="22"/>
                    </w:rPr>
                    <w:br/>
                    <w:t>3° de wijze waarop de collectiebeherende organisatie georganiseerd is, waarbij:</w:t>
                  </w:r>
                  <w:r>
                    <w:rPr>
                      <w:rFonts w:ascii="Georgia" w:hAnsi="Georgia" w:cs="Calibri"/>
                      <w:color w:val="000000"/>
                      <w:sz w:val="22"/>
                      <w:szCs w:val="22"/>
                    </w:rPr>
                    <w:br/>
                    <w:t>a) er schriftelijke afspraken zijn over bevoegdheden;</w:t>
                  </w:r>
                  <w:r>
                    <w:rPr>
                      <w:rFonts w:ascii="Georgia" w:hAnsi="Georgia" w:cs="Calibri"/>
                      <w:color w:val="000000"/>
                      <w:sz w:val="22"/>
                      <w:szCs w:val="22"/>
                    </w:rPr>
                    <w:br/>
                    <w:t>b) een interne controle wordt georganiseerd;</w:t>
                  </w:r>
                  <w:r>
                    <w:rPr>
                      <w:rFonts w:ascii="Georgia" w:hAnsi="Georgia" w:cs="Calibri"/>
                      <w:color w:val="000000"/>
                      <w:sz w:val="22"/>
                      <w:szCs w:val="22"/>
                    </w:rPr>
                    <w:br/>
                    <w:t>c) de principes inzake de overheidsopdrachten in acht genomen worden;</w:t>
                  </w:r>
                  <w:r>
                    <w:rPr>
                      <w:rFonts w:ascii="Georgia" w:hAnsi="Georgia" w:cs="Calibri"/>
                      <w:color w:val="000000"/>
                      <w:sz w:val="22"/>
                      <w:szCs w:val="22"/>
                    </w:rPr>
                    <w:br/>
                    <w:t>4° het personeels- en verloningsbeleid dat gevoerd wordt en dat afgestemd is op de schaalgrootte van de organisatie, waarbij:</w:t>
                  </w:r>
                  <w:r>
                    <w:rPr>
                      <w:rFonts w:ascii="Georgia" w:hAnsi="Georgia" w:cs="Calibri"/>
                      <w:color w:val="000000"/>
                      <w:sz w:val="22"/>
                      <w:szCs w:val="22"/>
                    </w:rPr>
                    <w:br/>
                    <w:t>a) er een organogram is;</w:t>
                  </w:r>
                  <w:r>
                    <w:rPr>
                      <w:rFonts w:ascii="Georgia" w:hAnsi="Georgia" w:cs="Calibri"/>
                      <w:color w:val="000000"/>
                      <w:sz w:val="22"/>
                      <w:szCs w:val="22"/>
                    </w:rPr>
                    <w:br/>
                    <w:t>b) de professionele medewerkers, beschikken over een functiebeschrijving;</w:t>
                  </w:r>
                  <w:r>
                    <w:rPr>
                      <w:rFonts w:ascii="Georgia" w:hAnsi="Georgia" w:cs="Calibri"/>
                      <w:color w:val="000000"/>
                      <w:sz w:val="22"/>
                      <w:szCs w:val="22"/>
                    </w:rPr>
                    <w:br/>
                    <w:t>c) de medewerkers beschikken over voldoende zakelijke en inhoudelijke competenties voor de taken die zij vervullen en bijscholing kunnen volgen om zich daarin verder te bekwamen;</w:t>
                  </w:r>
                  <w:r>
                    <w:rPr>
                      <w:rFonts w:ascii="Georgia" w:hAnsi="Georgia" w:cs="Calibri"/>
                      <w:color w:val="000000"/>
                      <w:sz w:val="22"/>
                      <w:szCs w:val="22"/>
                    </w:rPr>
                    <w:br/>
                    <w:t>d) vrijwilligers voldoende garanties krijgen op het vlak van sociale en burgerrechtelijke bescherming;</w:t>
                  </w:r>
                  <w:r>
                    <w:rPr>
                      <w:rFonts w:ascii="Georgia" w:hAnsi="Georgia" w:cs="Calibri"/>
                      <w:color w:val="000000"/>
                      <w:sz w:val="22"/>
                      <w:szCs w:val="22"/>
                    </w:rPr>
                    <w:br/>
                    <w:t>5° het voeren van een gezond financieel beleid;</w:t>
                  </w:r>
                  <w:r>
                    <w:rPr>
                      <w:rFonts w:ascii="Georgia" w:hAnsi="Georgia" w:cs="Calibri"/>
                      <w:color w:val="000000"/>
                      <w:sz w:val="22"/>
                      <w:szCs w:val="22"/>
                    </w:rPr>
                    <w:br/>
                    <w:t>6° de zorg voor het eigen archief.</w:t>
                  </w:r>
                  <w:r>
                    <w:rPr>
                      <w:rFonts w:ascii="Georgia" w:hAnsi="Georgia" w:cs="Calibri"/>
                      <w:color w:val="000000"/>
                      <w:sz w:val="22"/>
                      <w:szCs w:val="22"/>
                    </w:rPr>
                    <w:br/>
                  </w:r>
                  <w:r>
                    <w:rPr>
                      <w:rFonts w:ascii="Georgia" w:hAnsi="Georgia" w:cs="Calibri"/>
                      <w:color w:val="000000"/>
                      <w:sz w:val="22"/>
                      <w:szCs w:val="22"/>
                    </w:rPr>
                    <w:br/>
                    <w:t>Een collectiebeherende organisatie past de principes van goed bestuur toe zoals vermeld in hoofdstuk 5, afdeling 3.</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 xml:space="preserve">Afdeling 2 Nadere specificaties van de subsidiëringsvoorwaarden en criteria voor </w:t>
                  </w:r>
                  <w:r>
                    <w:rPr>
                      <w:rFonts w:ascii="Georgia" w:hAnsi="Georgia" w:cs="Calibri"/>
                      <w:color w:val="000000"/>
                      <w:sz w:val="22"/>
                      <w:szCs w:val="22"/>
                    </w:rPr>
                    <w:lastRenderedPageBreak/>
                    <w:t>de toekenning van werkingssubsidies                                 art.63</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 er schriftelijke afspraken zijn over procedures, bevoegdheden, en, in geval van een structureel samenwerkingsverband, over de onderlinge inbreng en taakverdeling;</w:t>
                  </w:r>
                  <w:r>
                    <w:rPr>
                      <w:rFonts w:ascii="Georgia" w:hAnsi="Georgia" w:cs="Calibri"/>
                      <w:color w:val="000000"/>
                      <w:sz w:val="22"/>
                      <w:szCs w:val="22"/>
                    </w:rPr>
                    <w:br/>
                    <w:t>b) een interne controle wordt georganiseerd;</w:t>
                  </w:r>
                  <w:r>
                    <w:rPr>
                      <w:rFonts w:ascii="Georgia" w:hAnsi="Georgia" w:cs="Calibri"/>
                      <w:color w:val="000000"/>
                      <w:sz w:val="22"/>
                      <w:szCs w:val="22"/>
                    </w:rPr>
                    <w:br/>
                    <w:t>c) de principes inzake de overheidsopdrachten in acht genomen worden;</w:t>
                  </w:r>
                  <w:r>
                    <w:rPr>
                      <w:rFonts w:ascii="Georgia" w:hAnsi="Georgia" w:cs="Calibri"/>
                      <w:color w:val="000000"/>
                      <w:sz w:val="22"/>
                      <w:szCs w:val="22"/>
                    </w:rPr>
                    <w:br/>
                    <w:t>d) de uitvoering van de functies en van de dienstverlenende rol apart identificeerbaar zijn, in geval van een aanvraag voor werkingssubsidies als vermeld in artikel 46, tweede lid van het Cultureelerfgoeddecreet van 24 februari 2017;</w:t>
                  </w:r>
                  <w:r>
                    <w:rPr>
                      <w:rFonts w:ascii="Georgia" w:hAnsi="Georgia" w:cs="Calibri"/>
                      <w:color w:val="000000"/>
                      <w:sz w:val="22"/>
                      <w:szCs w:val="22"/>
                    </w:rPr>
                    <w:br/>
                    <w:t>3° het personeels- en verloningsbeleid dat gevoerd wordt en dat afgestemd is op de schaalgrootte van de organisatie;</w:t>
                  </w:r>
                  <w:r>
                    <w:rPr>
                      <w:rFonts w:ascii="Georgia" w:hAnsi="Georgia" w:cs="Calibri"/>
                      <w:color w:val="000000"/>
                      <w:sz w:val="22"/>
                      <w:szCs w:val="22"/>
                    </w:rPr>
                    <w:br/>
                    <w:t>4° het voeren van een gezond financieel beleid;</w:t>
                  </w:r>
                  <w:r>
                    <w:rPr>
                      <w:rFonts w:ascii="Georgia" w:hAnsi="Georgia" w:cs="Calibri"/>
                      <w:color w:val="000000"/>
                      <w:sz w:val="22"/>
                      <w:szCs w:val="22"/>
                    </w:rPr>
                    <w:br/>
                    <w:t>5° het toepassen van de principes goed bestuur, vermeld in afdeling 3.</w:t>
                  </w:r>
                  <w:r>
                    <w:rPr>
                      <w:rFonts w:ascii="Georgia" w:hAnsi="Georgia" w:cs="Calibri"/>
                      <w:color w:val="000000"/>
                      <w:sz w:val="22"/>
                      <w:szCs w:val="22"/>
                    </w:rPr>
                    <w:br/>
                    <w:t>De haalbaarheid en het realiteitsgehalte van de begroting wordt beoordeeld aan de hand van:</w:t>
                  </w:r>
                  <w:r>
                    <w:rPr>
                      <w:rFonts w:ascii="Georgia" w:hAnsi="Georgia" w:cs="Calibri"/>
                      <w:color w:val="000000"/>
                      <w:sz w:val="22"/>
                      <w:szCs w:val="22"/>
                    </w:rPr>
                    <w:br/>
                    <w:t>1° de wijze waarop de begroting is afgestemd op de doelstellingen in de aanvraag;</w:t>
                  </w:r>
                  <w:r>
                    <w:rPr>
                      <w:rFonts w:ascii="Georgia" w:hAnsi="Georgia" w:cs="Calibri"/>
                      <w:color w:val="000000"/>
                      <w:sz w:val="22"/>
                      <w:szCs w:val="22"/>
                    </w:rPr>
                    <w:br/>
                    <w:t xml:space="preserve">2° de mate waarin de kosten en opbrengsten die opgenomen zijn in de begroting realistisch geraamd zijn en </w:t>
                  </w:r>
                  <w:r>
                    <w:rPr>
                      <w:rFonts w:ascii="Georgia" w:hAnsi="Georgia" w:cs="Calibri"/>
                      <w:color w:val="000000"/>
                      <w:sz w:val="22"/>
                      <w:szCs w:val="22"/>
                    </w:rPr>
                    <w:lastRenderedPageBreak/>
                    <w:t>onderbouwd worden met concrete elementen.</w:t>
                  </w:r>
                  <w:r>
                    <w:rPr>
                      <w:rFonts w:ascii="Georgia" w:hAnsi="Georgia" w:cs="Calibri"/>
                      <w:color w:val="000000"/>
                      <w:sz w:val="22"/>
                      <w:szCs w:val="22"/>
                    </w:rPr>
                    <w:br/>
                    <w:t>Een collectiebeherende organisatie die voldoet aan de bepalingen, vermeld in artikel 25, 34 of 39, voldoet automatisch ook aan de bepalingen van het tweede lid.</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Afdeling 3. Goed Bestuur</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 65</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De volgende principes zijn principes van goed bestuur, voor zover de organisatie over de desbetreffende organen beschikt en voor zover de toepasselijke regelgeving toelaat om hier aan te voldoen:</w:t>
                  </w:r>
                  <w:r>
                    <w:rPr>
                      <w:rFonts w:ascii="Georgia" w:hAnsi="Georgia" w:cs="Calibri"/>
                      <w:color w:val="000000"/>
                      <w:sz w:val="22"/>
                      <w:szCs w:val="22"/>
                    </w:rPr>
                    <w:br/>
                    <w:t>1° de organen functioneren in een kader van wederzijdse controle en evenwicht;</w:t>
                  </w:r>
                  <w:r>
                    <w:rPr>
                      <w:rFonts w:ascii="Georgia" w:hAnsi="Georgia" w:cs="Calibri"/>
                      <w:color w:val="000000"/>
                      <w:sz w:val="22"/>
                      <w:szCs w:val="22"/>
                    </w:rPr>
                    <w:br/>
                    <w:t>2° er is een huishoudelijk reglement dat de deontologische code van de leden van de raad van bestuur bevat;</w:t>
                  </w:r>
                  <w:r>
                    <w:rPr>
                      <w:rFonts w:ascii="Georgia" w:hAnsi="Georgia" w:cs="Calibri"/>
                      <w:color w:val="000000"/>
                      <w:sz w:val="22"/>
                      <w:szCs w:val="22"/>
                    </w:rPr>
                    <w:br/>
                    <w:t>3° de functionele verhoudingen tussen de raad van bestuur en de algemene vergadering worden vastgelegd in het huishoudelijk reglement;</w:t>
                  </w:r>
                  <w:r>
                    <w:rPr>
                      <w:rFonts w:ascii="Georgia" w:hAnsi="Georgia" w:cs="Calibri"/>
                      <w:color w:val="000000"/>
                      <w:sz w:val="22"/>
                      <w:szCs w:val="22"/>
                    </w:rPr>
                    <w:br/>
                    <w:t>4° de raad van bestuur wordt samengesteld op basis van a priori bepaalde profielen die rekening houden met de competenties die nodig zijn en waarbij gestreefd wordt naar een gelijkwaardige man-vrouwverhouding;</w:t>
                  </w:r>
                  <w:r>
                    <w:rPr>
                      <w:rFonts w:ascii="Georgia" w:hAnsi="Georgia" w:cs="Calibri"/>
                      <w:color w:val="000000"/>
                      <w:sz w:val="22"/>
                      <w:szCs w:val="22"/>
                    </w:rPr>
                    <w:br/>
                    <w:t xml:space="preserve">5° minstens de helft van de raad van bestuur bestaat uit niet-uitvoerende bestuurders en minimaal een derde, afgerond naar beneden, van het aantal stemgerechtigde leden van de raad van bestuur is een onafhankelijk bestuurder. </w:t>
                  </w:r>
                  <w:r>
                    <w:rPr>
                      <w:rFonts w:ascii="Georgia" w:hAnsi="Georgia" w:cs="Calibri"/>
                      <w:color w:val="000000"/>
                      <w:sz w:val="22"/>
                      <w:szCs w:val="22"/>
                    </w:rPr>
                    <w:lastRenderedPageBreak/>
                    <w:t>Onafhankelijke bestuurders voldoen aan de volgende criteria:</w:t>
                  </w:r>
                  <w:r>
                    <w:rPr>
                      <w:rFonts w:ascii="Georgia" w:hAnsi="Georgia" w:cs="Calibri"/>
                      <w:color w:val="000000"/>
                      <w:sz w:val="22"/>
                      <w:szCs w:val="22"/>
                    </w:rPr>
                    <w:br/>
                    <w:t>a) ze hebben geen uitvoerend mandaat, directiefunctie of functie waarin ze belast waren met het dagelijks bestuur uitgeoefend gedurende een periode van twee jaar voorafgaand aan hun benoeming in de organisatie;</w:t>
                  </w:r>
                  <w:r>
                    <w:rPr>
                      <w:rFonts w:ascii="Georgia" w:hAnsi="Georgia" w:cs="Calibri"/>
                      <w:color w:val="000000"/>
                      <w:sz w:val="22"/>
                      <w:szCs w:val="22"/>
                    </w:rPr>
                    <w:br/>
                    <w:t>b) ze hebben niet meer dan drie mandaten als bestuurder van de organisatie uitgeoefend en de periode waarin ze die mandaten hebben uitgeoefend, bedroeg maximaal twaalf jaar;</w:t>
                  </w:r>
                  <w:r>
                    <w:rPr>
                      <w:rFonts w:ascii="Georgia" w:hAnsi="Georgia" w:cs="Calibri"/>
                      <w:color w:val="000000"/>
                      <w:sz w:val="22"/>
                      <w:szCs w:val="22"/>
                    </w:rPr>
                    <w:br/>
                    <w:t>c) ze hebben geen significante zakelijke relatie met de organisatie;</w:t>
                  </w:r>
                  <w:r>
                    <w:rPr>
                      <w:rFonts w:ascii="Georgia" w:hAnsi="Georgia" w:cs="Calibri"/>
                      <w:color w:val="000000"/>
                      <w:sz w:val="22"/>
                      <w:szCs w:val="22"/>
                    </w:rPr>
                    <w:br/>
                    <w:t>d) in de voorbije drie jaar zijn ze geen vennoot of werknemer geweest van de huidige of vorige externe auditor van de organisatie;</w:t>
                  </w:r>
                  <w:r>
                    <w:rPr>
                      <w:rFonts w:ascii="Georgia" w:hAnsi="Georgia" w:cs="Calibri"/>
                      <w:color w:val="000000"/>
                      <w:sz w:val="22"/>
                      <w:szCs w:val="22"/>
                    </w:rPr>
                    <w:br/>
                    <w:t>e) ze hebben geen echtgenoot, wettelijk of feitelijk samenwonende partner of bloed- of aanverwanten tot de tweede graad die in de organisatie een mandaat van lid van het bestuursorgaan, directiefunctie of functie waarin de persoon belast is met het dagelijks bestuur, uitoefenen;</w:t>
                  </w:r>
                  <w:r>
                    <w:rPr>
                      <w:rFonts w:ascii="Georgia" w:hAnsi="Georgia" w:cs="Calibri"/>
                      <w:color w:val="000000"/>
                      <w:sz w:val="22"/>
                      <w:szCs w:val="22"/>
                    </w:rPr>
                    <w:br/>
                    <w:t>6° de mandaten van de leden van de raad van bestuur zijn beperkt in de tijd, met een raadpleegbaar rooster van aanstellen en aftreden. De termijnen van de mandaten en de vorm van het rooster zijn vastgelegd in het huishoudelijk reglement. Er wordt een overzicht bijgehouden van de overige bestuursmandaten van de bestuurders;</w:t>
                  </w:r>
                  <w:r>
                    <w:rPr>
                      <w:rFonts w:ascii="Georgia" w:hAnsi="Georgia" w:cs="Calibri"/>
                      <w:color w:val="000000"/>
                      <w:sz w:val="22"/>
                      <w:szCs w:val="22"/>
                    </w:rPr>
                    <w:br/>
                    <w:t xml:space="preserve">7° de raad van bestuur evalueert zichzelf binnen een bepaalde termijn, vastgelegd in </w:t>
                  </w:r>
                  <w:r>
                    <w:rPr>
                      <w:rFonts w:ascii="Georgia" w:hAnsi="Georgia" w:cs="Calibri"/>
                      <w:color w:val="000000"/>
                      <w:sz w:val="22"/>
                      <w:szCs w:val="22"/>
                    </w:rPr>
                    <w:lastRenderedPageBreak/>
                    <w:t>het huishoudelijk reglement;</w:t>
                  </w:r>
                  <w:r>
                    <w:rPr>
                      <w:rFonts w:ascii="Georgia" w:hAnsi="Georgia" w:cs="Calibri"/>
                      <w:color w:val="000000"/>
                      <w:sz w:val="22"/>
                      <w:szCs w:val="22"/>
                    </w:rPr>
                    <w:br/>
                    <w:t>8° er is een officieel en schriftelijk afsprakenkader tussen de raad van bestuur en de directie;</w:t>
                  </w:r>
                  <w:r>
                    <w:rPr>
                      <w:rFonts w:ascii="Georgia" w:hAnsi="Georgia" w:cs="Calibri"/>
                      <w:color w:val="000000"/>
                      <w:sz w:val="22"/>
                      <w:szCs w:val="22"/>
                    </w:rPr>
                    <w:br/>
                    <w:t>9° het afsprakenkader tussen de raad van bestuur en de directie bevat minstens een regeling voor de hantering van mogelijke interne conflicten, en een aanwijzing van de eindverantwoordelijkheid in geval van een meerhoofdige directie;</w:t>
                  </w:r>
                  <w:r>
                    <w:rPr>
                      <w:rFonts w:ascii="Georgia" w:hAnsi="Georgia" w:cs="Calibri"/>
                      <w:color w:val="000000"/>
                      <w:sz w:val="22"/>
                      <w:szCs w:val="22"/>
                    </w:rPr>
                    <w:br/>
                    <w:t>10° de directie wordt periodiek geëvalueerd op basis van de elementen, opgenomen in het afsprakenkader tussen de raad van bestuur en de directie.</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64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art.66</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Als de organisatie een bestuur is of beheerd wordt door een bestuur, gelden in afwijking van artikel 65 de volgende principes van goed bestuur, voor zover de organisatie over de desbetreffende organen beschikt en voor zover de toepasselijke regelgeving toelaat om hier aan te voldoen:</w:t>
                  </w:r>
                  <w:r>
                    <w:rPr>
                      <w:rFonts w:ascii="Georgia" w:hAnsi="Georgia" w:cs="Calibri"/>
                      <w:color w:val="000000"/>
                      <w:sz w:val="22"/>
                      <w:szCs w:val="22"/>
                    </w:rPr>
                    <w:br/>
                    <w:t>1° de organen functioneren in een kader van wederzijdse controle en evenwicht;</w:t>
                  </w:r>
                  <w:r>
                    <w:rPr>
                      <w:rFonts w:ascii="Georgia" w:hAnsi="Georgia" w:cs="Calibri"/>
                      <w:color w:val="000000"/>
                      <w:sz w:val="22"/>
                      <w:szCs w:val="22"/>
                    </w:rPr>
                    <w:br/>
                    <w:t>2° er is een huishoudelijk reglement dat de deontologische code van de leden van de raad van bestuur bevat;</w:t>
                  </w:r>
                  <w:r>
                    <w:rPr>
                      <w:rFonts w:ascii="Georgia" w:hAnsi="Georgia" w:cs="Calibri"/>
                      <w:color w:val="000000"/>
                      <w:sz w:val="22"/>
                      <w:szCs w:val="22"/>
                    </w:rPr>
                    <w:br/>
                    <w:t>3° de functionele verhoudingen tussen de raad van bestuur en de algemene vergadering worden vastgelegd in het huishoudelijk reglement;</w:t>
                  </w:r>
                  <w:r>
                    <w:rPr>
                      <w:rFonts w:ascii="Georgia" w:hAnsi="Georgia" w:cs="Calibri"/>
                      <w:color w:val="000000"/>
                      <w:sz w:val="22"/>
                      <w:szCs w:val="22"/>
                    </w:rPr>
                    <w:br/>
                    <w:t xml:space="preserve">4° de raad van bestuur wordt samengesteld op basis van a priori bepaalde profielen die rekening houden </w:t>
                  </w:r>
                  <w:r>
                    <w:rPr>
                      <w:rFonts w:ascii="Georgia" w:hAnsi="Georgia" w:cs="Calibri"/>
                      <w:color w:val="000000"/>
                      <w:sz w:val="22"/>
                      <w:szCs w:val="22"/>
                    </w:rPr>
                    <w:lastRenderedPageBreak/>
                    <w:t>met de competenties die nodig zijn;</w:t>
                  </w:r>
                  <w:r>
                    <w:rPr>
                      <w:rFonts w:ascii="Georgia" w:hAnsi="Georgia" w:cs="Calibri"/>
                      <w:color w:val="000000"/>
                      <w:sz w:val="22"/>
                      <w:szCs w:val="22"/>
                    </w:rPr>
                    <w:br/>
                    <w:t>5° de mandaten van de leden van de raad van bestuur zijn beperkt in de tijd, met een raadpleegbaar rooster van aanstellen en aftreden. De termijnen van de mandaten en de vorm van het rooster zijn vastgelegd in het huishoudelijk reglement. Er wordt een overzicht bijgehouden van de overige bestuursmandaten van de bestuurders;</w:t>
                  </w:r>
                  <w:r>
                    <w:rPr>
                      <w:rFonts w:ascii="Georgia" w:hAnsi="Georgia" w:cs="Calibri"/>
                      <w:color w:val="000000"/>
                      <w:sz w:val="22"/>
                      <w:szCs w:val="22"/>
                    </w:rPr>
                    <w:br/>
                    <w:t>6° de raad van bestuur evalueert zichzelf binnen een bepaalde termijn, vastgelegd in het huishoudelijk reglement;</w:t>
                  </w:r>
                  <w:r>
                    <w:rPr>
                      <w:rFonts w:ascii="Georgia" w:hAnsi="Georgia" w:cs="Calibri"/>
                      <w:color w:val="000000"/>
                      <w:sz w:val="22"/>
                      <w:szCs w:val="22"/>
                    </w:rPr>
                    <w:br/>
                    <w:t>7° er is een officieel en schriftelijk afsprakenkader tussen de raad van bestuur en de directie;</w:t>
                  </w:r>
                  <w:r>
                    <w:rPr>
                      <w:rFonts w:ascii="Georgia" w:hAnsi="Georgia" w:cs="Calibri"/>
                      <w:color w:val="000000"/>
                      <w:sz w:val="22"/>
                      <w:szCs w:val="22"/>
                    </w:rPr>
                    <w:br/>
                    <w:t>8° het afsprakenkader tussen de raad van bestuur en de directie bevat minstens een regeling voor de hantering van mogelijke interne conflicten, en een aanwijzing van de eindverantwoordelijkheid in geval van een meerhoofdige directie;</w:t>
                  </w:r>
                  <w:r>
                    <w:rPr>
                      <w:rFonts w:ascii="Georgia" w:hAnsi="Georgia" w:cs="Calibri"/>
                      <w:color w:val="000000"/>
                      <w:sz w:val="22"/>
                      <w:szCs w:val="22"/>
                    </w:rPr>
                    <w:br/>
                    <w:t>9° de directie wordt periodiek geëvalueerd op basis van de elementen, opgenomen in het afsprakenkader tussen de raad van bestuur en de directie.</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66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 xml:space="preserve">art. 67   </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Van de toepassing van de bepalingen van artikel 65 en 66 kan er afgeweken worden mits hiervoor een aanvaardbare verklaring wordt gegeven die aanvaard wordt door de adviescommissie Cultureel Erfgoed.</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Art. 101</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Voor de toepassing van artikel 34, derde lid, artikel 39, derde lid en artikel 63, tweede lid, 5°, geldt dat er pas aan principes van goed bestuur, vermeld in hoofdstuk 5, afdeling 3, moet voldaan zijn tegen het einde van de eerste beleidsperiode, vermeld in artikel 31 van het Cultureelerfgoeddecreet van 24 februari 2017.</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bl>
          <w:p w:rsidR="00BF1287" w:rsidRDefault="00BF1287"/>
        </w:tc>
        <w:tc>
          <w:tcPr>
            <w:tcW w:w="3651" w:type="dxa"/>
          </w:tcPr>
          <w:tbl>
            <w:tblPr>
              <w:tblW w:w="5296" w:type="dxa"/>
              <w:tblCellMar>
                <w:left w:w="70" w:type="dxa"/>
                <w:right w:w="70" w:type="dxa"/>
              </w:tblCellMar>
              <w:tblLook w:val="04A0" w:firstRow="1" w:lastRow="0" w:firstColumn="1" w:lastColumn="0" w:noHBand="0" w:noVBand="1"/>
            </w:tblPr>
            <w:tblGrid>
              <w:gridCol w:w="4304"/>
              <w:gridCol w:w="145"/>
            </w:tblGrid>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eastAsia="Times New Roman"/>
                    </w:rPr>
                  </w:pP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b/>
                      <w:bCs/>
                      <w:color w:val="B940FF"/>
                      <w:sz w:val="22"/>
                      <w:szCs w:val="22"/>
                    </w:rPr>
                  </w:pPr>
                  <w:r>
                    <w:rPr>
                      <w:rFonts w:ascii="Georgia" w:hAnsi="Georgia" w:cs="Calibri"/>
                      <w:b/>
                      <w:bCs/>
                      <w:color w:val="B940FF"/>
                      <w:sz w:val="22"/>
                      <w:szCs w:val="22"/>
                    </w:rPr>
                    <w:t>Memorie van Toelichting</w:t>
                  </w: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Algemene toelichting</w:t>
                  </w:r>
                </w:p>
              </w:tc>
            </w:tr>
            <w:tr w:rsidR="00BF1287" w:rsidTr="00BF1287">
              <w:trPr>
                <w:gridAfter w:val="1"/>
                <w:wAfter w:w="36" w:type="dxa"/>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2.2. Conceptnota</w:t>
                  </w:r>
                </w:p>
              </w:tc>
            </w:tr>
            <w:tr w:rsidR="00BF1287" w:rsidTr="00BF1287">
              <w:trPr>
                <w:gridAfter w:val="1"/>
                <w:wAfter w:w="36" w:type="dxa"/>
                <w:trHeight w:val="320"/>
              </w:trPr>
              <w:tc>
                <w:tcPr>
                  <w:tcW w:w="5260" w:type="dxa"/>
                  <w:vMerge w:val="restart"/>
                  <w:tcBorders>
                    <w:top w:val="nil"/>
                    <w:left w:val="nil"/>
                    <w:bottom w:val="nil"/>
                    <w:right w:val="nil"/>
                  </w:tcBorders>
                  <w:shd w:val="clear" w:color="auto" w:fill="auto"/>
                  <w:vAlign w:val="bottom"/>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versterkte aandacht voor planlastvermindering, samenwerking en netwerking,</w:t>
                  </w:r>
                  <w:r>
                    <w:rPr>
                      <w:rFonts w:ascii="Georgia" w:hAnsi="Georgia" w:cs="Calibri"/>
                      <w:color w:val="000000"/>
                      <w:sz w:val="22"/>
                      <w:szCs w:val="22"/>
                    </w:rPr>
                    <w:br/>
                    <w:t>degelijk zakelijk beleid, goed bestuur enzovoort.</w:t>
                  </w: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50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6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880"/>
              </w:trPr>
              <w:tc>
                <w:tcPr>
                  <w:tcW w:w="5260" w:type="dxa"/>
                  <w:vMerge w:val="restart"/>
                  <w:tcBorders>
                    <w:top w:val="nil"/>
                    <w:left w:val="nil"/>
                    <w:bottom w:val="nil"/>
                    <w:right w:val="nil"/>
                  </w:tcBorders>
                  <w:shd w:val="clear" w:color="auto" w:fill="auto"/>
                  <w:hideMark/>
                </w:tcPr>
                <w:p w:rsidR="00BF1287" w:rsidRDefault="00BF1287" w:rsidP="00BF1287">
                  <w:pPr>
                    <w:rPr>
                      <w:rFonts w:ascii="Georgia" w:hAnsi="Georgia" w:cs="Calibri"/>
                      <w:color w:val="000000"/>
                      <w:sz w:val="22"/>
                      <w:szCs w:val="22"/>
                    </w:rPr>
                  </w:pPr>
                  <w:r>
                    <w:rPr>
                      <w:rFonts w:ascii="Georgia" w:hAnsi="Georgia" w:cs="Calibri"/>
                      <w:color w:val="000000"/>
                      <w:sz w:val="22"/>
                      <w:szCs w:val="22"/>
                    </w:rPr>
                    <w:t>In de memorie van toelichting wordt in de commentaar bij artikel 18 van het ontwerp met betrekking tot het criterium dat is vervat in het eerste lid, 7°, van dit artikel5 verwezen naar de “Vlaamse Code voor Cultural Governance van het Bilsen Fonds” en naar het decreet van 22 november 2013 ‘betreffende deugdelijk bestuur in de Vlaamse publieke sector’.</w:t>
                  </w:r>
                  <w:r>
                    <w:rPr>
                      <w:rFonts w:ascii="Georgia" w:hAnsi="Georgia" w:cs="Calibri"/>
                      <w:color w:val="000000"/>
                      <w:sz w:val="22"/>
                      <w:szCs w:val="22"/>
                    </w:rPr>
                    <w:br/>
                    <w:t>De gemachtigde verschafte hierbij de volgende toelichting:</w:t>
                  </w:r>
                  <w:r>
                    <w:rPr>
                      <w:rFonts w:ascii="Georgia" w:hAnsi="Georgia" w:cs="Calibri"/>
                      <w:color w:val="000000"/>
                      <w:sz w:val="22"/>
                      <w:szCs w:val="22"/>
                    </w:rPr>
                    <w:br/>
                    <w:t>“Codes rond goed bestuur, waaronder ook deze van het Bilzen Fonds, werken volgens het principe ‘comply or explain’. Het is daarom moeilijk om een deze code ‘normatief’ van toepassing te verklaren aangezien de code zelf voorziet dat er van afgeweken kan worden mits dit gemotiveerd wordt.</w:t>
                  </w:r>
                  <w:r>
                    <w:rPr>
                      <w:rFonts w:ascii="Georgia" w:hAnsi="Georgia" w:cs="Calibri"/>
                      <w:color w:val="000000"/>
                      <w:sz w:val="22"/>
                      <w:szCs w:val="22"/>
                    </w:rPr>
                    <w:br/>
                    <w:t xml:space="preserve">Bij de opmaak van de uitvoeringsbesluiten zal bekeken moeten worden hoe daar mee </w:t>
                  </w:r>
                  <w:r>
                    <w:rPr>
                      <w:rFonts w:ascii="Georgia" w:hAnsi="Georgia" w:cs="Calibri"/>
                      <w:color w:val="000000"/>
                      <w:sz w:val="22"/>
                      <w:szCs w:val="22"/>
                    </w:rPr>
                    <w:lastRenderedPageBreak/>
                    <w:t>omgegaan wordt. Een mogelijke optie daarbij is om bepaalde onderdelen van de code bindend te verklaren (door opname in de uitvoeringsbesluiten). Dit moet echter nog verder bekeken worden.”Zo men onderdelen van de genoemde code bindend wenst te maken, dient dat effectief te gebeuren door een opname van (en niet door een loutere verwijzing naar) de betrokken onderdelen in het ontwerp of in een uitvoeringsbesluit ervan.</w:t>
                  </w:r>
                  <w:r>
                    <w:rPr>
                      <w:rFonts w:ascii="Georgia" w:hAnsi="Georgia" w:cs="Calibri"/>
                      <w:color w:val="000000"/>
                      <w:sz w:val="22"/>
                      <w:szCs w:val="22"/>
                    </w:rPr>
                    <w:br/>
                    <w:t>Indien het bovendien de bedoeling zou zijn om ook een openbaarmaking van persoonsgegevens op te leggen, dient dit in het ontwerp zelf te worden bepaald, dit zowel gelet op het legaliteitsbeginsel vervat in artikel11 van de wet van 16juli1973 als gelet op het legaliteitsbeginsel vervat in artikel 22 van de Grondwet</w:t>
                  </w: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rFonts w:ascii="Georgia" w:hAnsi="Georgia" w:cs="Calibri"/>
                      <w:color w:val="000000"/>
                      <w:sz w:val="22"/>
                      <w:szCs w:val="22"/>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vMerge/>
                  <w:tcBorders>
                    <w:top w:val="nil"/>
                    <w:left w:val="nil"/>
                    <w:bottom w:val="nil"/>
                    <w:right w:val="nil"/>
                  </w:tcBorders>
                  <w:vAlign w:val="center"/>
                  <w:hideMark/>
                </w:tcPr>
                <w:p w:rsidR="00BF1287" w:rsidRDefault="00BF1287" w:rsidP="00BF1287">
                  <w:pPr>
                    <w:rPr>
                      <w:rFonts w:ascii="Georgia" w:hAnsi="Georgia" w:cs="Calibri"/>
                      <w:color w:val="000000"/>
                      <w:sz w:val="22"/>
                      <w:szCs w:val="22"/>
                    </w:rPr>
                  </w:pPr>
                </w:p>
              </w:tc>
              <w:tc>
                <w:tcPr>
                  <w:tcW w:w="36" w:type="dxa"/>
                  <w:tcBorders>
                    <w:top w:val="nil"/>
                    <w:left w:val="nil"/>
                    <w:bottom w:val="nil"/>
                    <w:right w:val="nil"/>
                  </w:tcBorders>
                  <w:shd w:val="clear" w:color="auto" w:fill="auto"/>
                  <w:noWrap/>
                  <w:vAlign w:val="bottom"/>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9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4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64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66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r w:rsidR="00BF1287" w:rsidTr="00BF1287">
              <w:trPr>
                <w:trHeight w:val="320"/>
              </w:trPr>
              <w:tc>
                <w:tcPr>
                  <w:tcW w:w="5260" w:type="dxa"/>
                  <w:tcBorders>
                    <w:top w:val="nil"/>
                    <w:left w:val="nil"/>
                    <w:bottom w:val="nil"/>
                    <w:right w:val="nil"/>
                  </w:tcBorders>
                  <w:shd w:val="clear" w:color="auto" w:fill="auto"/>
                  <w:noWrap/>
                  <w:vAlign w:val="bottom"/>
                  <w:hideMark/>
                </w:tcPr>
                <w:p w:rsidR="00BF1287" w:rsidRDefault="00BF1287" w:rsidP="00BF1287">
                  <w:pPr>
                    <w:rPr>
                      <w:sz w:val="20"/>
                      <w:szCs w:val="20"/>
                    </w:rPr>
                  </w:pPr>
                </w:p>
              </w:tc>
              <w:tc>
                <w:tcPr>
                  <w:tcW w:w="36" w:type="dxa"/>
                  <w:vAlign w:val="center"/>
                  <w:hideMark/>
                </w:tcPr>
                <w:p w:rsidR="00BF1287" w:rsidRDefault="00BF1287" w:rsidP="00BF1287">
                  <w:pPr>
                    <w:rPr>
                      <w:sz w:val="20"/>
                      <w:szCs w:val="20"/>
                    </w:rPr>
                  </w:pPr>
                </w:p>
              </w:tc>
            </w:tr>
          </w:tbl>
          <w:p w:rsidR="00BF1287" w:rsidRDefault="00BF1287"/>
        </w:tc>
      </w:tr>
    </w:tbl>
    <w:p w:rsidR="00E90160" w:rsidRDefault="00E90160"/>
    <w:sectPr w:rsidR="00E90160" w:rsidSect="00BF12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87"/>
    <w:rsid w:val="00BF1287"/>
    <w:rsid w:val="00E901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5880C8C"/>
  <w15:chartTrackingRefBased/>
  <w15:docId w15:val="{02AF0213-75DD-5048-9023-5D4D691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3057">
      <w:bodyDiv w:val="1"/>
      <w:marLeft w:val="0"/>
      <w:marRight w:val="0"/>
      <w:marTop w:val="0"/>
      <w:marBottom w:val="0"/>
      <w:divBdr>
        <w:top w:val="none" w:sz="0" w:space="0" w:color="auto"/>
        <w:left w:val="none" w:sz="0" w:space="0" w:color="auto"/>
        <w:bottom w:val="none" w:sz="0" w:space="0" w:color="auto"/>
        <w:right w:val="none" w:sz="0" w:space="0" w:color="auto"/>
      </w:divBdr>
    </w:div>
    <w:div w:id="735320025">
      <w:bodyDiv w:val="1"/>
      <w:marLeft w:val="0"/>
      <w:marRight w:val="0"/>
      <w:marTop w:val="0"/>
      <w:marBottom w:val="0"/>
      <w:divBdr>
        <w:top w:val="none" w:sz="0" w:space="0" w:color="auto"/>
        <w:left w:val="none" w:sz="0" w:space="0" w:color="auto"/>
        <w:bottom w:val="none" w:sz="0" w:space="0" w:color="auto"/>
        <w:right w:val="none" w:sz="0" w:space="0" w:color="auto"/>
      </w:divBdr>
    </w:div>
    <w:div w:id="755832936">
      <w:bodyDiv w:val="1"/>
      <w:marLeft w:val="0"/>
      <w:marRight w:val="0"/>
      <w:marTop w:val="0"/>
      <w:marBottom w:val="0"/>
      <w:divBdr>
        <w:top w:val="none" w:sz="0" w:space="0" w:color="auto"/>
        <w:left w:val="none" w:sz="0" w:space="0" w:color="auto"/>
        <w:bottom w:val="none" w:sz="0" w:space="0" w:color="auto"/>
        <w:right w:val="none" w:sz="0" w:space="0" w:color="auto"/>
      </w:divBdr>
    </w:div>
    <w:div w:id="805272127">
      <w:bodyDiv w:val="1"/>
      <w:marLeft w:val="0"/>
      <w:marRight w:val="0"/>
      <w:marTop w:val="0"/>
      <w:marBottom w:val="0"/>
      <w:divBdr>
        <w:top w:val="none" w:sz="0" w:space="0" w:color="auto"/>
        <w:left w:val="none" w:sz="0" w:space="0" w:color="auto"/>
        <w:bottom w:val="none" w:sz="0" w:space="0" w:color="auto"/>
        <w:right w:val="none" w:sz="0" w:space="0" w:color="auto"/>
      </w:divBdr>
    </w:div>
    <w:div w:id="830482997">
      <w:bodyDiv w:val="1"/>
      <w:marLeft w:val="0"/>
      <w:marRight w:val="0"/>
      <w:marTop w:val="0"/>
      <w:marBottom w:val="0"/>
      <w:divBdr>
        <w:top w:val="none" w:sz="0" w:space="0" w:color="auto"/>
        <w:left w:val="none" w:sz="0" w:space="0" w:color="auto"/>
        <w:bottom w:val="none" w:sz="0" w:space="0" w:color="auto"/>
        <w:right w:val="none" w:sz="0" w:space="0" w:color="auto"/>
      </w:divBdr>
    </w:div>
    <w:div w:id="1168785216">
      <w:bodyDiv w:val="1"/>
      <w:marLeft w:val="0"/>
      <w:marRight w:val="0"/>
      <w:marTop w:val="0"/>
      <w:marBottom w:val="0"/>
      <w:divBdr>
        <w:top w:val="none" w:sz="0" w:space="0" w:color="auto"/>
        <w:left w:val="none" w:sz="0" w:space="0" w:color="auto"/>
        <w:bottom w:val="none" w:sz="0" w:space="0" w:color="auto"/>
        <w:right w:val="none" w:sz="0" w:space="0" w:color="auto"/>
      </w:divBdr>
    </w:div>
    <w:div w:id="14794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3162</Words>
  <Characters>17393</Characters>
  <Application>Microsoft Office Word</Application>
  <DocSecurity>0</DocSecurity>
  <Lines>144</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Meulemans</dc:creator>
  <cp:keywords/>
  <dc:description/>
  <cp:lastModifiedBy>Nele Meulemans</cp:lastModifiedBy>
  <cp:revision>1</cp:revision>
  <dcterms:created xsi:type="dcterms:W3CDTF">2020-10-30T09:41:00Z</dcterms:created>
  <dcterms:modified xsi:type="dcterms:W3CDTF">2020-10-30T09:47:00Z</dcterms:modified>
</cp:coreProperties>
</file>